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AD7" w:rsidRPr="0068098D" w:rsidRDefault="00112AD7" w:rsidP="00112AD7">
      <w:pPr>
        <w:spacing w:line="360" w:lineRule="auto"/>
        <w:jc w:val="center"/>
        <w:rPr>
          <w:b/>
        </w:rPr>
      </w:pPr>
      <w:r w:rsidRPr="0068098D">
        <w:rPr>
          <w:noProof/>
          <w:lang w:val="es-ES" w:eastAsia="es-ES"/>
        </w:rPr>
        <w:drawing>
          <wp:anchor distT="0" distB="0" distL="114300" distR="114300" simplePos="0" relativeHeight="251659264" behindDoc="1" locked="0" layoutInCell="1" allowOverlap="1" wp14:anchorId="11B52021" wp14:editId="6C9E5CEA">
            <wp:simplePos x="0" y="0"/>
            <wp:positionH relativeFrom="margin">
              <wp:align>center</wp:align>
            </wp:positionH>
            <wp:positionV relativeFrom="paragraph">
              <wp:posOffset>24130</wp:posOffset>
            </wp:positionV>
            <wp:extent cx="6781800" cy="94678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 membrete-02.png"/>
                    <pic:cNvPicPr/>
                  </pic:nvPicPr>
                  <pic:blipFill>
                    <a:blip r:embed="rId6">
                      <a:extLst>
                        <a:ext uri="{28A0092B-C50C-407E-A947-70E740481C1C}">
                          <a14:useLocalDpi xmlns:a14="http://schemas.microsoft.com/office/drawing/2010/main" val="0"/>
                        </a:ext>
                      </a:extLst>
                    </a:blip>
                    <a:stretch>
                      <a:fillRect/>
                    </a:stretch>
                  </pic:blipFill>
                  <pic:spPr>
                    <a:xfrm>
                      <a:off x="0" y="0"/>
                      <a:ext cx="6781800" cy="946785"/>
                    </a:xfrm>
                    <a:prstGeom prst="rect">
                      <a:avLst/>
                    </a:prstGeom>
                    <a:extLst>
                      <a:ext uri="{FAA26D3D-D897-4be2-8F04-BA451C77F1D7}">
                        <ma14:placeholderFlag xmlns:oel="http://schemas.microsoft.com/office/2019/extlst" xmlns:w16cex="http://schemas.microsoft.com/office/word/2018/wordml/cex" xmlns:w16="http://schemas.microsoft.com/office/word/2018/wordml"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r w:rsidRPr="0068098D">
        <w:rPr>
          <w:b/>
        </w:rPr>
        <w:t>REVISTA</w:t>
      </w:r>
    </w:p>
    <w:p w:rsidR="00112AD7" w:rsidRPr="00447DB9" w:rsidRDefault="00112AD7" w:rsidP="00112AD7">
      <w:pPr>
        <w:spacing w:line="360" w:lineRule="auto"/>
        <w:jc w:val="center"/>
        <w:rPr>
          <w:b/>
          <w:i/>
        </w:rPr>
      </w:pPr>
      <w:r w:rsidRPr="00447DB9">
        <w:rPr>
          <w:b/>
          <w:i/>
        </w:rPr>
        <w:t>QUAESTIONES DISPUTATAE</w:t>
      </w:r>
      <w:r>
        <w:rPr>
          <w:b/>
          <w:i/>
        </w:rPr>
        <w:t>:</w:t>
      </w:r>
    </w:p>
    <w:p w:rsidR="00112AD7" w:rsidRPr="0068098D" w:rsidRDefault="00112AD7" w:rsidP="00112AD7">
      <w:pPr>
        <w:spacing w:line="360" w:lineRule="auto"/>
        <w:jc w:val="center"/>
        <w:rPr>
          <w:b/>
        </w:rPr>
      </w:pPr>
      <w:r w:rsidRPr="0068098D">
        <w:rPr>
          <w:b/>
          <w:i/>
          <w:iCs/>
        </w:rPr>
        <w:t>T</w:t>
      </w:r>
      <w:r w:rsidRPr="0068098D">
        <w:rPr>
          <w:b/>
          <w:i/>
        </w:rPr>
        <w:t>EMAS EN DEBATE</w:t>
      </w:r>
    </w:p>
    <w:p w:rsidR="00112AD7" w:rsidRPr="0068098D" w:rsidRDefault="00112AD7" w:rsidP="00112AD7">
      <w:pPr>
        <w:spacing w:line="360" w:lineRule="auto"/>
        <w:jc w:val="center"/>
        <w:rPr>
          <w:b/>
        </w:rPr>
      </w:pPr>
      <w:proofErr w:type="spellStart"/>
      <w:r w:rsidRPr="0068098D">
        <w:rPr>
          <w:b/>
        </w:rPr>
        <w:t>Vol</w:t>
      </w:r>
      <w:proofErr w:type="spellEnd"/>
      <w:r w:rsidRPr="0068098D">
        <w:rPr>
          <w:b/>
        </w:rPr>
        <w:t xml:space="preserve">: 16 </w:t>
      </w:r>
      <w:proofErr w:type="spellStart"/>
      <w:r w:rsidRPr="0068098D">
        <w:rPr>
          <w:b/>
        </w:rPr>
        <w:t>Nº</w:t>
      </w:r>
      <w:proofErr w:type="spellEnd"/>
      <w:r w:rsidRPr="0068098D">
        <w:rPr>
          <w:b/>
        </w:rPr>
        <w:t xml:space="preserve"> 3</w:t>
      </w:r>
      <w:r>
        <w:rPr>
          <w:b/>
        </w:rPr>
        <w:t>3</w:t>
      </w: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r w:rsidRPr="0068098D">
        <w:rPr>
          <w:b/>
        </w:rPr>
        <w:t xml:space="preserve">Revista admitida en el índice Nacional de </w:t>
      </w:r>
      <w:proofErr w:type="spellStart"/>
      <w:r w:rsidRPr="0068098D">
        <w:rPr>
          <w:b/>
        </w:rPr>
        <w:t>Publindex</w:t>
      </w:r>
      <w:proofErr w:type="spellEnd"/>
    </w:p>
    <w:p w:rsidR="00112AD7" w:rsidRPr="0068098D" w:rsidRDefault="00112AD7" w:rsidP="00112AD7">
      <w:pPr>
        <w:spacing w:line="360" w:lineRule="auto"/>
        <w:jc w:val="center"/>
        <w:rPr>
          <w:b/>
        </w:rPr>
      </w:pPr>
      <w:r w:rsidRPr="0068098D">
        <w:rPr>
          <w:b/>
        </w:rPr>
        <w:t>Seriadas Científicas y Tecnológicas. PUBLINDEX.</w:t>
      </w: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r w:rsidRPr="0068098D">
        <w:rPr>
          <w:b/>
        </w:rPr>
        <w:t>DEPARTAMENTO DE HUMANIDADES</w:t>
      </w:r>
    </w:p>
    <w:p w:rsidR="00112AD7" w:rsidRPr="0068098D" w:rsidRDefault="00112AD7" w:rsidP="00112AD7">
      <w:pPr>
        <w:spacing w:line="360" w:lineRule="auto"/>
        <w:jc w:val="center"/>
        <w:rPr>
          <w:b/>
        </w:rPr>
      </w:pPr>
      <w:r w:rsidRPr="0068098D">
        <w:rPr>
          <w:b/>
        </w:rPr>
        <w:t>2023 - I</w:t>
      </w:r>
      <w:r>
        <w:rPr>
          <w:b/>
        </w:rPr>
        <w:t>I</w:t>
      </w:r>
    </w:p>
    <w:p w:rsidR="00112AD7" w:rsidRPr="0068098D" w:rsidRDefault="00112AD7" w:rsidP="00112AD7">
      <w:pPr>
        <w:spacing w:line="360" w:lineRule="auto"/>
        <w:jc w:val="center"/>
        <w:rPr>
          <w:b/>
        </w:rPr>
      </w:pPr>
      <w:r w:rsidRPr="0068098D">
        <w:rPr>
          <w:b/>
        </w:rPr>
        <w:t>Tunja</w:t>
      </w:r>
    </w:p>
    <w:p w:rsidR="00112AD7" w:rsidRPr="0068098D" w:rsidRDefault="00112AD7" w:rsidP="00112AD7">
      <w:pPr>
        <w:spacing w:line="360" w:lineRule="auto"/>
        <w:jc w:val="center"/>
        <w:rPr>
          <w:b/>
        </w:rPr>
      </w:pPr>
    </w:p>
    <w:p w:rsidR="00112AD7" w:rsidRPr="0068098D" w:rsidRDefault="00112AD7" w:rsidP="00112AD7">
      <w:pPr>
        <w:spacing w:line="360" w:lineRule="auto"/>
        <w:jc w:val="center"/>
        <w:rPr>
          <w:b/>
        </w:rPr>
      </w:pPr>
    </w:p>
    <w:tbl>
      <w:tblPr>
        <w:tblW w:w="10541" w:type="dxa"/>
        <w:tblInd w:w="-46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23"/>
        <w:gridCol w:w="1261"/>
        <w:gridCol w:w="1081"/>
        <w:gridCol w:w="921"/>
        <w:gridCol w:w="1100"/>
        <w:gridCol w:w="1229"/>
        <w:gridCol w:w="1081"/>
        <w:gridCol w:w="2445"/>
      </w:tblGrid>
      <w:tr w:rsidR="00112AD7" w:rsidRPr="0068098D" w:rsidTr="008F4B2E">
        <w:trPr>
          <w:trHeight w:val="771"/>
        </w:trPr>
        <w:tc>
          <w:tcPr>
            <w:tcW w:w="1426" w:type="dxa"/>
          </w:tcPr>
          <w:p w:rsidR="00112AD7" w:rsidRPr="0068098D" w:rsidRDefault="00112AD7" w:rsidP="008F4B2E">
            <w:pPr>
              <w:spacing w:line="360" w:lineRule="auto"/>
              <w:jc w:val="both"/>
            </w:pPr>
          </w:p>
          <w:p w:rsidR="00112AD7" w:rsidRPr="0068098D" w:rsidRDefault="00112AD7" w:rsidP="008F4B2E">
            <w:pPr>
              <w:spacing w:line="360" w:lineRule="auto"/>
              <w:jc w:val="both"/>
            </w:pPr>
          </w:p>
          <w:p w:rsidR="00112AD7" w:rsidRPr="0068098D" w:rsidRDefault="00112AD7" w:rsidP="008F4B2E">
            <w:pPr>
              <w:spacing w:line="360" w:lineRule="auto"/>
              <w:jc w:val="both"/>
            </w:pPr>
            <w:proofErr w:type="spellStart"/>
            <w:r w:rsidRPr="0068098D">
              <w:t>Quaestiones</w:t>
            </w:r>
            <w:proofErr w:type="spellEnd"/>
            <w:r w:rsidRPr="0068098D">
              <w:t xml:space="preserve"> </w:t>
            </w:r>
          </w:p>
          <w:p w:rsidR="00112AD7" w:rsidRPr="0068098D" w:rsidRDefault="00112AD7" w:rsidP="008F4B2E">
            <w:pPr>
              <w:spacing w:line="360" w:lineRule="auto"/>
              <w:jc w:val="both"/>
            </w:pPr>
            <w:proofErr w:type="spellStart"/>
            <w:r w:rsidRPr="0068098D">
              <w:t>Disputatae</w:t>
            </w:r>
            <w:proofErr w:type="spellEnd"/>
          </w:p>
        </w:tc>
        <w:tc>
          <w:tcPr>
            <w:tcW w:w="1272" w:type="dxa"/>
          </w:tcPr>
          <w:p w:rsidR="00112AD7" w:rsidRPr="0068098D" w:rsidRDefault="00112AD7" w:rsidP="008F4B2E">
            <w:pPr>
              <w:spacing w:line="360" w:lineRule="auto"/>
              <w:jc w:val="both"/>
            </w:pPr>
          </w:p>
          <w:p w:rsidR="00112AD7" w:rsidRPr="0068098D" w:rsidRDefault="00112AD7" w:rsidP="008F4B2E">
            <w:pPr>
              <w:spacing w:line="360" w:lineRule="auto"/>
              <w:jc w:val="both"/>
            </w:pPr>
          </w:p>
          <w:p w:rsidR="00112AD7" w:rsidRPr="0068098D" w:rsidRDefault="00112AD7" w:rsidP="008F4B2E">
            <w:pPr>
              <w:spacing w:line="360" w:lineRule="auto"/>
              <w:jc w:val="both"/>
            </w:pPr>
            <w:r w:rsidRPr="0068098D">
              <w:t>Tunja, Colombia</w:t>
            </w:r>
          </w:p>
        </w:tc>
        <w:tc>
          <w:tcPr>
            <w:tcW w:w="1137" w:type="dxa"/>
          </w:tcPr>
          <w:p w:rsidR="00112AD7" w:rsidRPr="0068098D" w:rsidRDefault="00112AD7" w:rsidP="008F4B2E">
            <w:pPr>
              <w:spacing w:line="360" w:lineRule="auto"/>
              <w:jc w:val="both"/>
            </w:pPr>
          </w:p>
          <w:p w:rsidR="00112AD7" w:rsidRPr="0068098D" w:rsidRDefault="00112AD7" w:rsidP="008F4B2E">
            <w:pPr>
              <w:spacing w:line="360" w:lineRule="auto"/>
              <w:jc w:val="both"/>
            </w:pPr>
          </w:p>
          <w:p w:rsidR="00112AD7" w:rsidRPr="0068098D" w:rsidRDefault="00112AD7" w:rsidP="008F4B2E">
            <w:pPr>
              <w:spacing w:line="360" w:lineRule="auto"/>
              <w:jc w:val="both"/>
            </w:pPr>
            <w:r w:rsidRPr="0068098D">
              <w:t>No. 3</w:t>
            </w:r>
            <w:r>
              <w:t>3</w:t>
            </w:r>
          </w:p>
        </w:tc>
        <w:tc>
          <w:tcPr>
            <w:tcW w:w="952" w:type="dxa"/>
          </w:tcPr>
          <w:p w:rsidR="00112AD7" w:rsidRPr="0068098D" w:rsidRDefault="00112AD7" w:rsidP="008F4B2E">
            <w:pPr>
              <w:spacing w:line="360" w:lineRule="auto"/>
              <w:jc w:val="both"/>
            </w:pPr>
          </w:p>
          <w:p w:rsidR="00112AD7" w:rsidRPr="0068098D" w:rsidRDefault="00112AD7" w:rsidP="008F4B2E">
            <w:pPr>
              <w:spacing w:line="360" w:lineRule="auto"/>
              <w:jc w:val="both"/>
            </w:pPr>
          </w:p>
          <w:p w:rsidR="00112AD7" w:rsidRPr="0068098D" w:rsidRDefault="00112AD7" w:rsidP="008F4B2E">
            <w:pPr>
              <w:spacing w:line="360" w:lineRule="auto"/>
              <w:jc w:val="both"/>
            </w:pPr>
            <w:r w:rsidRPr="0068098D">
              <w:t>Vol. 16</w:t>
            </w:r>
          </w:p>
        </w:tc>
        <w:tc>
          <w:tcPr>
            <w:tcW w:w="1157" w:type="dxa"/>
          </w:tcPr>
          <w:p w:rsidR="00112AD7" w:rsidRPr="0068098D" w:rsidRDefault="00112AD7" w:rsidP="008F4B2E">
            <w:pPr>
              <w:spacing w:line="360" w:lineRule="auto"/>
              <w:jc w:val="both"/>
            </w:pPr>
          </w:p>
          <w:p w:rsidR="00112AD7" w:rsidRPr="0068098D" w:rsidRDefault="00112AD7" w:rsidP="008F4B2E">
            <w:pPr>
              <w:spacing w:line="360" w:lineRule="auto"/>
              <w:jc w:val="both"/>
            </w:pPr>
          </w:p>
          <w:p w:rsidR="00112AD7" w:rsidRPr="0068098D" w:rsidRDefault="00112AD7" w:rsidP="008F4B2E">
            <w:pPr>
              <w:spacing w:line="360" w:lineRule="auto"/>
              <w:jc w:val="both"/>
            </w:pPr>
            <w:r w:rsidRPr="0068098D">
              <w:t>pp. 1-</w:t>
            </w:r>
            <w:r w:rsidRPr="00E552C1">
              <w:rPr>
                <w:color w:val="FF0000"/>
              </w:rPr>
              <w:t>241</w:t>
            </w:r>
          </w:p>
        </w:tc>
        <w:tc>
          <w:tcPr>
            <w:tcW w:w="869" w:type="dxa"/>
          </w:tcPr>
          <w:p w:rsidR="00112AD7" w:rsidRPr="0068098D" w:rsidRDefault="00112AD7" w:rsidP="008F4B2E">
            <w:pPr>
              <w:spacing w:line="360" w:lineRule="auto"/>
              <w:jc w:val="both"/>
            </w:pPr>
          </w:p>
          <w:p w:rsidR="00112AD7" w:rsidRPr="0068098D" w:rsidRDefault="00112AD7" w:rsidP="008F4B2E">
            <w:pPr>
              <w:spacing w:line="360" w:lineRule="auto"/>
              <w:jc w:val="both"/>
            </w:pPr>
          </w:p>
          <w:p w:rsidR="00112AD7" w:rsidRPr="0068098D" w:rsidRDefault="00112AD7" w:rsidP="008F4B2E">
            <w:pPr>
              <w:spacing w:line="360" w:lineRule="auto"/>
              <w:jc w:val="both"/>
            </w:pPr>
            <w:r>
              <w:t>Julio</w:t>
            </w:r>
            <w:r w:rsidRPr="0068098D">
              <w:t xml:space="preserve"> - </w:t>
            </w:r>
            <w:r>
              <w:t>Diciembre</w:t>
            </w:r>
          </w:p>
        </w:tc>
        <w:tc>
          <w:tcPr>
            <w:tcW w:w="1123" w:type="dxa"/>
          </w:tcPr>
          <w:p w:rsidR="00112AD7" w:rsidRPr="0068098D" w:rsidRDefault="00112AD7" w:rsidP="008F4B2E">
            <w:pPr>
              <w:spacing w:line="360" w:lineRule="auto"/>
              <w:jc w:val="both"/>
            </w:pPr>
          </w:p>
          <w:p w:rsidR="00112AD7" w:rsidRPr="0068098D" w:rsidRDefault="00112AD7" w:rsidP="008F4B2E">
            <w:pPr>
              <w:spacing w:line="360" w:lineRule="auto"/>
              <w:jc w:val="both"/>
            </w:pPr>
          </w:p>
          <w:p w:rsidR="00112AD7" w:rsidRPr="0068098D" w:rsidRDefault="00112AD7" w:rsidP="008F4B2E">
            <w:pPr>
              <w:spacing w:line="360" w:lineRule="auto"/>
              <w:jc w:val="both"/>
            </w:pPr>
          </w:p>
          <w:p w:rsidR="00112AD7" w:rsidRPr="0068098D" w:rsidRDefault="00112AD7" w:rsidP="008F4B2E">
            <w:pPr>
              <w:spacing w:line="360" w:lineRule="auto"/>
              <w:jc w:val="center"/>
            </w:pPr>
            <w:r w:rsidRPr="0068098D">
              <w:t>2023 - I</w:t>
            </w:r>
            <w:r>
              <w:t>I</w:t>
            </w:r>
          </w:p>
        </w:tc>
        <w:tc>
          <w:tcPr>
            <w:tcW w:w="2605" w:type="dxa"/>
          </w:tcPr>
          <w:p w:rsidR="00112AD7" w:rsidRPr="0068098D" w:rsidRDefault="00112AD7" w:rsidP="008F4B2E">
            <w:pPr>
              <w:spacing w:line="360" w:lineRule="auto"/>
              <w:jc w:val="both"/>
            </w:pPr>
            <w:r w:rsidRPr="0068098D">
              <w:t xml:space="preserve"> </w:t>
            </w:r>
          </w:p>
          <w:p w:rsidR="00112AD7" w:rsidRPr="0068098D" w:rsidRDefault="00112AD7" w:rsidP="008F4B2E">
            <w:pPr>
              <w:spacing w:line="360" w:lineRule="auto"/>
              <w:jc w:val="both"/>
            </w:pPr>
            <w:r w:rsidRPr="0068098D">
              <w:t>e-ISSN: 2422-2186</w:t>
            </w:r>
          </w:p>
          <w:p w:rsidR="00112AD7" w:rsidRPr="0068098D" w:rsidRDefault="00112AD7" w:rsidP="008F4B2E">
            <w:pPr>
              <w:spacing w:line="360" w:lineRule="auto"/>
              <w:jc w:val="both"/>
            </w:pPr>
            <w:r w:rsidRPr="0068098D">
              <w:t>Versión en Línea</w:t>
            </w:r>
          </w:p>
          <w:p w:rsidR="00112AD7" w:rsidRPr="0068098D" w:rsidRDefault="00112AD7" w:rsidP="008F4B2E">
            <w:pPr>
              <w:spacing w:line="360" w:lineRule="auto"/>
              <w:jc w:val="both"/>
            </w:pPr>
          </w:p>
        </w:tc>
      </w:tr>
    </w:tbl>
    <w:p w:rsidR="00112AD7" w:rsidRPr="0068098D" w:rsidRDefault="00112AD7" w:rsidP="00112AD7">
      <w:pPr>
        <w:spacing w:line="360" w:lineRule="auto"/>
        <w:jc w:val="center"/>
        <w:rPr>
          <w:b/>
        </w:rPr>
      </w:pPr>
    </w:p>
    <w:p w:rsidR="00112AD7" w:rsidRPr="0068098D" w:rsidRDefault="00112AD7" w:rsidP="00112AD7">
      <w:pPr>
        <w:spacing w:line="360" w:lineRule="auto"/>
        <w:rPr>
          <w:rFonts w:eastAsia="Times New Roman"/>
          <w:b/>
          <w:lang w:eastAsia="es-CO"/>
        </w:rPr>
        <w:sectPr w:rsidR="00112AD7" w:rsidRPr="0068098D" w:rsidSect="007A6C2F">
          <w:footerReference w:type="default" r:id="rId7"/>
          <w:pgSz w:w="12240" w:h="15840"/>
          <w:pgMar w:top="1417" w:right="1701" w:bottom="1417" w:left="1701" w:header="708" w:footer="708" w:gutter="0"/>
          <w:pgNumType w:start="1"/>
          <w:cols w:space="708"/>
          <w:docGrid w:linePitch="360"/>
        </w:sectPr>
      </w:pPr>
    </w:p>
    <w:p w:rsidR="00112AD7" w:rsidRPr="0068098D" w:rsidRDefault="00112AD7" w:rsidP="00112AD7">
      <w:pPr>
        <w:spacing w:line="360" w:lineRule="auto"/>
        <w:rPr>
          <w:rFonts w:eastAsia="Times New Roman"/>
          <w:b/>
          <w:lang w:eastAsia="es-CO"/>
        </w:rPr>
        <w:sectPr w:rsidR="00112AD7" w:rsidRPr="0068098D" w:rsidSect="0060079E">
          <w:type w:val="continuous"/>
          <w:pgSz w:w="12240" w:h="15840"/>
          <w:pgMar w:top="1417" w:right="1701" w:bottom="1417" w:left="1701" w:header="708" w:footer="708" w:gutter="0"/>
          <w:cols w:space="708"/>
          <w:docGrid w:linePitch="360"/>
        </w:sectPr>
      </w:pPr>
    </w:p>
    <w:p w:rsidR="00112AD7" w:rsidRPr="0068098D" w:rsidRDefault="00112AD7" w:rsidP="00112AD7">
      <w:pPr>
        <w:spacing w:line="360" w:lineRule="auto"/>
        <w:jc w:val="both"/>
        <w:rPr>
          <w:b/>
        </w:rPr>
      </w:pPr>
      <w:r w:rsidRPr="0068098D">
        <w:rPr>
          <w:b/>
        </w:rPr>
        <w:lastRenderedPageBreak/>
        <w:t>Institución Editora</w:t>
      </w:r>
    </w:p>
    <w:p w:rsidR="00112AD7" w:rsidRPr="0068098D" w:rsidRDefault="00112AD7" w:rsidP="00112AD7">
      <w:pPr>
        <w:spacing w:line="360" w:lineRule="auto"/>
        <w:jc w:val="both"/>
      </w:pPr>
      <w:r w:rsidRPr="0068098D">
        <w:t xml:space="preserve">UNIVERSIDAD SANTO TOMÁS, </w:t>
      </w:r>
    </w:p>
    <w:p w:rsidR="00112AD7" w:rsidRPr="0068098D" w:rsidRDefault="00112AD7" w:rsidP="00112AD7">
      <w:pPr>
        <w:spacing w:line="360" w:lineRule="auto"/>
        <w:jc w:val="both"/>
        <w:rPr>
          <w:b/>
        </w:rPr>
      </w:pPr>
      <w:r w:rsidRPr="0068098D">
        <w:t>SECCIONAL TUNJA</w:t>
      </w:r>
    </w:p>
    <w:p w:rsidR="00112AD7" w:rsidRPr="0068098D" w:rsidRDefault="00112AD7" w:rsidP="00112AD7">
      <w:pPr>
        <w:spacing w:line="360" w:lineRule="auto"/>
        <w:rPr>
          <w:rFonts w:eastAsia="Times New Roman"/>
          <w:b/>
          <w:lang w:eastAsia="es-CO"/>
        </w:rPr>
      </w:pPr>
    </w:p>
    <w:p w:rsidR="00112AD7" w:rsidRPr="0068098D" w:rsidRDefault="00112AD7" w:rsidP="00112AD7">
      <w:pPr>
        <w:spacing w:line="360" w:lineRule="auto"/>
        <w:rPr>
          <w:rFonts w:eastAsia="Times New Roman"/>
          <w:b/>
          <w:lang w:eastAsia="es-CO"/>
        </w:rPr>
      </w:pPr>
      <w:r w:rsidRPr="0068098D">
        <w:rPr>
          <w:rFonts w:eastAsia="Times New Roman"/>
          <w:b/>
          <w:lang w:eastAsia="es-CO"/>
        </w:rPr>
        <w:t>Editora</w:t>
      </w:r>
    </w:p>
    <w:p w:rsidR="00112AD7" w:rsidRPr="0068098D" w:rsidRDefault="00112AD7" w:rsidP="00112AD7">
      <w:pPr>
        <w:spacing w:line="360" w:lineRule="auto"/>
        <w:rPr>
          <w:rFonts w:eastAsia="Times New Roman"/>
          <w:b/>
          <w:lang w:eastAsia="es-CO"/>
        </w:rPr>
      </w:pPr>
      <w:r w:rsidRPr="0068098D">
        <w:rPr>
          <w:rFonts w:eastAsia="Times New Roman"/>
          <w:b/>
          <w:lang w:eastAsia="es-CO"/>
        </w:rPr>
        <w:t>Diana D. Hurtado Peña</w:t>
      </w:r>
    </w:p>
    <w:p w:rsidR="00112AD7" w:rsidRPr="0068098D" w:rsidRDefault="00112AD7" w:rsidP="00112AD7">
      <w:pPr>
        <w:spacing w:line="360" w:lineRule="auto"/>
        <w:rPr>
          <w:rFonts w:eastAsia="Times New Roman"/>
          <w:lang w:eastAsia="es-CO"/>
        </w:rPr>
      </w:pPr>
      <w:r w:rsidRPr="0068098D">
        <w:rPr>
          <w:rFonts w:eastAsia="Times New Roman"/>
          <w:lang w:eastAsia="es-CO"/>
        </w:rPr>
        <w:t>Universidad Santo Tomás</w:t>
      </w:r>
    </w:p>
    <w:p w:rsidR="00112AD7" w:rsidRPr="0068098D" w:rsidRDefault="00112AD7" w:rsidP="00112AD7">
      <w:pPr>
        <w:spacing w:line="360" w:lineRule="auto"/>
        <w:rPr>
          <w:rFonts w:eastAsia="Times New Roman"/>
          <w:lang w:eastAsia="es-CO"/>
        </w:rPr>
      </w:pPr>
      <w:r w:rsidRPr="0068098D">
        <w:rPr>
          <w:rFonts w:eastAsia="Times New Roman"/>
          <w:lang w:eastAsia="es-CO"/>
        </w:rPr>
        <w:t xml:space="preserve">Tunja-Colombia </w:t>
      </w:r>
    </w:p>
    <w:p w:rsidR="00112AD7" w:rsidRPr="0068098D" w:rsidRDefault="00112AD7" w:rsidP="00112AD7">
      <w:pPr>
        <w:spacing w:line="360" w:lineRule="auto"/>
        <w:rPr>
          <w:rFonts w:eastAsia="Times New Roman"/>
          <w:lang w:eastAsia="es-CO"/>
        </w:rPr>
      </w:pPr>
    </w:p>
    <w:p w:rsidR="00112AD7" w:rsidRPr="0068098D" w:rsidRDefault="00112AD7" w:rsidP="00112AD7">
      <w:pPr>
        <w:spacing w:line="360" w:lineRule="auto"/>
        <w:jc w:val="both"/>
        <w:rPr>
          <w:b/>
        </w:rPr>
      </w:pPr>
      <w:r w:rsidRPr="0068098D">
        <w:rPr>
          <w:b/>
        </w:rPr>
        <w:t>Volumen de la Revista</w:t>
      </w:r>
    </w:p>
    <w:p w:rsidR="00112AD7" w:rsidRPr="0068098D" w:rsidRDefault="00112AD7" w:rsidP="00112AD7">
      <w:pPr>
        <w:spacing w:line="360" w:lineRule="auto"/>
        <w:jc w:val="both"/>
      </w:pPr>
      <w:r w:rsidRPr="0068098D">
        <w:t>VOLUMEN 16</w:t>
      </w:r>
    </w:p>
    <w:p w:rsidR="00112AD7" w:rsidRPr="0068098D" w:rsidRDefault="00112AD7" w:rsidP="00112AD7">
      <w:pPr>
        <w:spacing w:line="360" w:lineRule="auto"/>
        <w:jc w:val="both"/>
      </w:pPr>
      <w:r w:rsidRPr="0068098D">
        <w:t>No. 33</w:t>
      </w:r>
    </w:p>
    <w:p w:rsidR="00112AD7" w:rsidRPr="0068098D" w:rsidRDefault="00112AD7" w:rsidP="00112AD7">
      <w:pPr>
        <w:spacing w:line="360" w:lineRule="auto"/>
        <w:jc w:val="both"/>
      </w:pPr>
      <w:r w:rsidRPr="0068098D">
        <w:t xml:space="preserve">AÑO 2023- </w:t>
      </w:r>
      <w:r>
        <w:t>2</w:t>
      </w:r>
      <w:r w:rsidRPr="0068098D">
        <w:t xml:space="preserve"> – </w:t>
      </w:r>
      <w:r>
        <w:t>JULIO</w:t>
      </w:r>
      <w:r w:rsidRPr="0068098D">
        <w:t xml:space="preserve"> - </w:t>
      </w:r>
      <w:r>
        <w:t>DICIEMBRE</w:t>
      </w:r>
    </w:p>
    <w:p w:rsidR="00112AD7" w:rsidRPr="0068098D" w:rsidRDefault="00112AD7" w:rsidP="00112AD7">
      <w:pPr>
        <w:spacing w:line="360" w:lineRule="auto"/>
        <w:jc w:val="both"/>
      </w:pPr>
    </w:p>
    <w:p w:rsidR="00112AD7" w:rsidRPr="0068098D" w:rsidRDefault="00112AD7" w:rsidP="00112AD7">
      <w:pPr>
        <w:spacing w:line="360" w:lineRule="auto"/>
        <w:jc w:val="both"/>
        <w:rPr>
          <w:b/>
        </w:rPr>
      </w:pPr>
      <w:r w:rsidRPr="0068098D">
        <w:rPr>
          <w:b/>
        </w:rPr>
        <w:t>Periodicidad</w:t>
      </w:r>
    </w:p>
    <w:p w:rsidR="00112AD7" w:rsidRPr="0068098D" w:rsidRDefault="00112AD7" w:rsidP="00112AD7">
      <w:pPr>
        <w:spacing w:line="360" w:lineRule="auto"/>
        <w:jc w:val="both"/>
      </w:pPr>
      <w:r w:rsidRPr="0068098D">
        <w:t>SEMESTRAL</w:t>
      </w:r>
    </w:p>
    <w:p w:rsidR="00112AD7" w:rsidRPr="0068098D" w:rsidRDefault="00112AD7" w:rsidP="00112AD7">
      <w:pPr>
        <w:spacing w:line="360" w:lineRule="auto"/>
        <w:jc w:val="both"/>
        <w:rPr>
          <w:b/>
        </w:rPr>
      </w:pPr>
    </w:p>
    <w:p w:rsidR="00112AD7" w:rsidRPr="0068098D" w:rsidRDefault="00112AD7" w:rsidP="00112AD7">
      <w:pPr>
        <w:spacing w:line="360" w:lineRule="auto"/>
        <w:jc w:val="both"/>
        <w:rPr>
          <w:b/>
        </w:rPr>
      </w:pPr>
      <w:r w:rsidRPr="0068098D">
        <w:rPr>
          <w:b/>
        </w:rPr>
        <w:t>ISSN (versión en Línea)</w:t>
      </w:r>
    </w:p>
    <w:p w:rsidR="00112AD7" w:rsidRPr="0068098D" w:rsidRDefault="00112AD7" w:rsidP="00112AD7">
      <w:pPr>
        <w:spacing w:line="360" w:lineRule="auto"/>
        <w:jc w:val="both"/>
      </w:pPr>
      <w:r w:rsidRPr="0068098D">
        <w:t>2422-2186</w:t>
      </w:r>
    </w:p>
    <w:p w:rsidR="00112AD7" w:rsidRPr="0068098D" w:rsidRDefault="00112AD7" w:rsidP="00112AD7">
      <w:pPr>
        <w:spacing w:line="360" w:lineRule="auto"/>
        <w:rPr>
          <w:rFonts w:eastAsia="Times New Roman"/>
          <w:lang w:eastAsia="es-CO"/>
        </w:rPr>
      </w:pPr>
    </w:p>
    <w:p w:rsidR="00112AD7" w:rsidRPr="0068098D" w:rsidRDefault="00112AD7" w:rsidP="00112AD7">
      <w:pPr>
        <w:spacing w:line="360" w:lineRule="auto"/>
        <w:jc w:val="both"/>
        <w:rPr>
          <w:b/>
        </w:rPr>
      </w:pPr>
      <w:r w:rsidRPr="0068098D">
        <w:rPr>
          <w:b/>
        </w:rPr>
        <w:t xml:space="preserve">Suscripciones y Canje. Dirección Postal </w:t>
      </w:r>
    </w:p>
    <w:p w:rsidR="00112AD7" w:rsidRPr="0068098D" w:rsidRDefault="00112AD7" w:rsidP="00112AD7">
      <w:pPr>
        <w:spacing w:line="360" w:lineRule="auto"/>
      </w:pPr>
      <w:r w:rsidRPr="0068098D">
        <w:t>Departamento de Humanidades</w:t>
      </w:r>
    </w:p>
    <w:p w:rsidR="00112AD7" w:rsidRPr="0068098D" w:rsidRDefault="00112AD7" w:rsidP="00112AD7">
      <w:pPr>
        <w:spacing w:line="360" w:lineRule="auto"/>
        <w:jc w:val="both"/>
      </w:pPr>
      <w:r w:rsidRPr="0068098D">
        <w:t xml:space="preserve">Universidad Santo Tomás – Seccional </w:t>
      </w:r>
    </w:p>
    <w:p w:rsidR="00112AD7" w:rsidRPr="0068098D" w:rsidRDefault="00112AD7" w:rsidP="00112AD7">
      <w:pPr>
        <w:spacing w:line="360" w:lineRule="auto"/>
        <w:jc w:val="both"/>
      </w:pPr>
      <w:r w:rsidRPr="0068098D">
        <w:t>Tunja</w:t>
      </w:r>
    </w:p>
    <w:p w:rsidR="00112AD7" w:rsidRPr="0068098D" w:rsidRDefault="00112AD7" w:rsidP="00112AD7">
      <w:pPr>
        <w:spacing w:line="360" w:lineRule="auto"/>
        <w:rPr>
          <w:b/>
        </w:rPr>
      </w:pPr>
    </w:p>
    <w:p w:rsidR="00112AD7" w:rsidRPr="0068098D" w:rsidRDefault="00112AD7" w:rsidP="00112AD7">
      <w:pPr>
        <w:spacing w:line="360" w:lineRule="auto"/>
      </w:pPr>
      <w:proofErr w:type="spellStart"/>
      <w:r w:rsidRPr="0068098D">
        <w:t>Cll</w:t>
      </w:r>
      <w:proofErr w:type="spellEnd"/>
      <w:r w:rsidRPr="0068098D">
        <w:t xml:space="preserve">. 19 </w:t>
      </w:r>
      <w:proofErr w:type="spellStart"/>
      <w:r w:rsidRPr="0068098D">
        <w:t>Nº</w:t>
      </w:r>
      <w:proofErr w:type="spellEnd"/>
      <w:r w:rsidRPr="0068098D">
        <w:t>. 11 - 64 Tunja (Boyacá), Colombia</w:t>
      </w:r>
    </w:p>
    <w:p w:rsidR="00112AD7" w:rsidRPr="0068098D" w:rsidRDefault="00112AD7" w:rsidP="00112AD7">
      <w:pPr>
        <w:spacing w:line="360" w:lineRule="auto"/>
      </w:pPr>
      <w:r w:rsidRPr="0068098D">
        <w:t>PBX: 744 04 04</w:t>
      </w:r>
    </w:p>
    <w:p w:rsidR="00112AD7" w:rsidRPr="0068098D" w:rsidRDefault="00112AD7" w:rsidP="00112AD7">
      <w:pPr>
        <w:spacing w:line="360" w:lineRule="auto"/>
      </w:pPr>
      <w:r w:rsidRPr="0068098D">
        <w:t>desde cualquier lugar del país</w:t>
      </w:r>
    </w:p>
    <w:p w:rsidR="00112AD7" w:rsidRPr="001813C7" w:rsidRDefault="00112AD7" w:rsidP="00112AD7">
      <w:pPr>
        <w:spacing w:line="360" w:lineRule="auto"/>
        <w:rPr>
          <w:lang w:val="es-CO"/>
        </w:rPr>
      </w:pPr>
      <w:r w:rsidRPr="001813C7">
        <w:rPr>
          <w:lang w:val="es-CO"/>
        </w:rPr>
        <w:t>línea gratuita: 018000 932340</w:t>
      </w:r>
    </w:p>
    <w:p w:rsidR="00112AD7" w:rsidRPr="001813C7" w:rsidRDefault="00112AD7" w:rsidP="00112AD7">
      <w:pPr>
        <w:spacing w:line="360" w:lineRule="auto"/>
        <w:rPr>
          <w:lang w:val="es-CO"/>
        </w:rPr>
      </w:pPr>
      <w:r w:rsidRPr="001813C7">
        <w:rPr>
          <w:bCs/>
          <w:lang w:val="es-CO"/>
        </w:rPr>
        <w:t>E-mail:</w:t>
      </w:r>
      <w:r w:rsidRPr="001813C7">
        <w:rPr>
          <w:b/>
          <w:lang w:val="es-CO"/>
        </w:rPr>
        <w:t xml:space="preserve"> </w:t>
      </w:r>
      <w:r w:rsidRPr="001813C7">
        <w:rPr>
          <w:lang w:val="es-CO"/>
        </w:rPr>
        <w:t>quaestionesdisputatae@ustatunja.edu.co</w:t>
      </w:r>
    </w:p>
    <w:p w:rsidR="00112AD7" w:rsidRPr="0068098D" w:rsidRDefault="00112AD7" w:rsidP="00112AD7">
      <w:pPr>
        <w:spacing w:line="360" w:lineRule="auto"/>
      </w:pPr>
      <w:r w:rsidRPr="0068098D">
        <w:t>Hecho el depósito que establece la ley</w:t>
      </w:r>
    </w:p>
    <w:p w:rsidR="00112AD7" w:rsidRPr="0068098D" w:rsidRDefault="00112AD7" w:rsidP="00112AD7">
      <w:pPr>
        <w:spacing w:line="360" w:lineRule="auto"/>
      </w:pPr>
      <w:r w:rsidRPr="0068098D">
        <w:lastRenderedPageBreak/>
        <w:t>Derechos Reservados</w:t>
      </w:r>
    </w:p>
    <w:p w:rsidR="00112AD7" w:rsidRPr="0068098D" w:rsidRDefault="00112AD7" w:rsidP="00112AD7">
      <w:pPr>
        <w:spacing w:line="360" w:lineRule="auto"/>
      </w:pPr>
      <w:r w:rsidRPr="0068098D">
        <w:t>Universidad Santo Tomás</w:t>
      </w:r>
    </w:p>
    <w:p w:rsidR="00112AD7" w:rsidRPr="0068098D" w:rsidRDefault="00112AD7" w:rsidP="00112AD7">
      <w:pPr>
        <w:spacing w:line="360" w:lineRule="auto"/>
        <w:jc w:val="both"/>
      </w:pPr>
      <w:r w:rsidRPr="0068098D">
        <w:t>Los conceptos expresados en los artículos son de exclusiva responsabilidad de sus autores y no comprometen a la institución ni a la publicación.</w:t>
      </w:r>
    </w:p>
    <w:p w:rsidR="00112AD7" w:rsidRPr="0068098D" w:rsidRDefault="00112AD7" w:rsidP="00112AD7">
      <w:pPr>
        <w:spacing w:line="360" w:lineRule="auto"/>
      </w:pPr>
    </w:p>
    <w:p w:rsidR="00112AD7" w:rsidRPr="0068098D" w:rsidRDefault="00112AD7" w:rsidP="00112AD7">
      <w:pPr>
        <w:spacing w:line="360" w:lineRule="auto"/>
      </w:pPr>
      <w:r w:rsidRPr="0068098D">
        <w:rPr>
          <w:b/>
        </w:rPr>
        <w:t>Se trata de una publicación de periodicidad semestral</w:t>
      </w:r>
      <w:r w:rsidRPr="0068098D">
        <w:t>. Para la recepción de los artículos se dispone el correo institucional: quaestionesdisputatae@ustatunja.edu.co</w:t>
      </w: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p>
    <w:p w:rsidR="00112AD7" w:rsidRDefault="00112AD7" w:rsidP="00864286">
      <w:pPr>
        <w:spacing w:line="360" w:lineRule="auto"/>
        <w:rPr>
          <w:b/>
          <w:bCs/>
        </w:rPr>
      </w:pPr>
      <w:bookmarkStart w:id="0" w:name="_GoBack"/>
      <w:bookmarkEnd w:id="0"/>
    </w:p>
    <w:p w:rsidR="00864286" w:rsidRPr="0068098D" w:rsidRDefault="00864286" w:rsidP="00864286">
      <w:pPr>
        <w:spacing w:line="360" w:lineRule="auto"/>
        <w:rPr>
          <w:b/>
          <w:bCs/>
        </w:rPr>
      </w:pPr>
      <w:r w:rsidRPr="0068098D">
        <w:rPr>
          <w:b/>
          <w:bCs/>
        </w:rPr>
        <w:lastRenderedPageBreak/>
        <w:t xml:space="preserve">EDITORIAL </w:t>
      </w:r>
    </w:p>
    <w:p w:rsidR="00864286" w:rsidRPr="0068098D" w:rsidRDefault="00864286" w:rsidP="00864286">
      <w:pPr>
        <w:spacing w:line="360" w:lineRule="auto"/>
        <w:rPr>
          <w:b/>
          <w:bCs/>
        </w:rPr>
      </w:pPr>
    </w:p>
    <w:p w:rsidR="00864286" w:rsidRPr="0068098D" w:rsidRDefault="00864286" w:rsidP="00864286">
      <w:pPr>
        <w:spacing w:line="360" w:lineRule="auto"/>
        <w:jc w:val="right"/>
        <w:rPr>
          <w:b/>
          <w:bCs/>
        </w:rPr>
      </w:pPr>
      <w:bookmarkStart w:id="1" w:name="_Hlk173174376"/>
      <w:proofErr w:type="spellStart"/>
      <w:r>
        <w:rPr>
          <w:b/>
          <w:bCs/>
        </w:rPr>
        <w:t>Hern</w:t>
      </w:r>
      <w:r w:rsidRPr="00864286">
        <w:rPr>
          <w:b/>
          <w:bCs/>
          <w:lang w:val="es-CO"/>
        </w:rPr>
        <w:t>án</w:t>
      </w:r>
      <w:proofErr w:type="spellEnd"/>
      <w:r w:rsidRPr="00864286">
        <w:rPr>
          <w:b/>
          <w:bCs/>
          <w:lang w:val="es-CO"/>
        </w:rPr>
        <w:t xml:space="preserve"> Javier Pinzón Manrique</w:t>
      </w:r>
      <w:r w:rsidRPr="0068098D">
        <w:rPr>
          <w:b/>
          <w:bCs/>
        </w:rPr>
        <w:t xml:space="preserve"> </w:t>
      </w:r>
      <w:bookmarkEnd w:id="1"/>
      <w:r w:rsidRPr="00744A57">
        <w:rPr>
          <w:rStyle w:val="FootnoteReference"/>
          <w:bCs/>
        </w:rPr>
        <w:footnoteReference w:id="1"/>
      </w:r>
    </w:p>
    <w:p w:rsidR="00864286" w:rsidRPr="0068098D" w:rsidRDefault="00864286" w:rsidP="00864286">
      <w:pPr>
        <w:spacing w:line="360" w:lineRule="auto"/>
        <w:rPr>
          <w:b/>
          <w:bCs/>
        </w:rPr>
      </w:pPr>
    </w:p>
    <w:p w:rsidR="00864286" w:rsidRDefault="00864286" w:rsidP="00864286">
      <w:pPr>
        <w:spacing w:line="360" w:lineRule="auto"/>
        <w:rPr>
          <w:lang w:val="es-MX"/>
        </w:rPr>
      </w:pPr>
      <w:r w:rsidRPr="0051191B">
        <w:rPr>
          <w:lang w:val="es-MX"/>
        </w:rPr>
        <w:t xml:space="preserve">Bienvenidos a esta nueva edición de </w:t>
      </w:r>
      <w:r w:rsidRPr="00744A57">
        <w:rPr>
          <w:i/>
          <w:lang w:val="es-MX"/>
        </w:rPr>
        <w:t xml:space="preserve">Revista </w:t>
      </w:r>
      <w:proofErr w:type="spellStart"/>
      <w:r w:rsidRPr="00744A57">
        <w:rPr>
          <w:i/>
          <w:lang w:val="es-MX"/>
        </w:rPr>
        <w:t>Quaestiones</w:t>
      </w:r>
      <w:proofErr w:type="spellEnd"/>
      <w:r w:rsidRPr="00744A57">
        <w:rPr>
          <w:i/>
          <w:lang w:val="es-MX"/>
        </w:rPr>
        <w:t xml:space="preserve"> </w:t>
      </w:r>
      <w:proofErr w:type="spellStart"/>
      <w:r w:rsidRPr="00744A57">
        <w:rPr>
          <w:i/>
          <w:lang w:val="es-MX"/>
        </w:rPr>
        <w:t>Disputatae</w:t>
      </w:r>
      <w:proofErr w:type="spellEnd"/>
      <w:r w:rsidRPr="00744A57">
        <w:rPr>
          <w:i/>
          <w:lang w:val="es-MX"/>
        </w:rPr>
        <w:t>: Temas en Debate</w:t>
      </w:r>
      <w:r w:rsidRPr="0051191B">
        <w:rPr>
          <w:lang w:val="es-MX"/>
        </w:rPr>
        <w:t xml:space="preserve">, publicada por el Departamento de Humanidades y Formación Integral de la Universidad Santo Tomás, Tunja. En esta edición nos embarcamos en un viaje fascinante a través de distintos aspectos de la realidad contemporánea y su representación en el pensamiento crítico. Hemos reunido una serie de artículos que reflejan la diversidad de temas abordados en las </w:t>
      </w:r>
      <w:r>
        <w:rPr>
          <w:lang w:val="es-MX"/>
        </w:rPr>
        <w:t>H</w:t>
      </w:r>
      <w:r w:rsidRPr="0051191B">
        <w:rPr>
          <w:lang w:val="es-MX"/>
        </w:rPr>
        <w:t>umanidades</w:t>
      </w:r>
      <w:r>
        <w:rPr>
          <w:lang w:val="es-MX"/>
        </w:rPr>
        <w:t>,</w:t>
      </w:r>
      <w:r w:rsidRPr="0051191B">
        <w:rPr>
          <w:lang w:val="es-MX"/>
        </w:rPr>
        <w:t xml:space="preserve"> y nos invitan a reflexionar sobre las complejidades y desafíos actuales que enfrentamos como sociedad.</w:t>
      </w:r>
    </w:p>
    <w:p w:rsidR="00864286" w:rsidRPr="0051191B" w:rsidRDefault="00864286" w:rsidP="00864286">
      <w:pPr>
        <w:spacing w:line="360" w:lineRule="auto"/>
        <w:rPr>
          <w:lang w:val="es-MX"/>
        </w:rPr>
      </w:pPr>
    </w:p>
    <w:p w:rsidR="00864286" w:rsidRDefault="00864286" w:rsidP="00864286">
      <w:pPr>
        <w:spacing w:line="360" w:lineRule="auto"/>
        <w:rPr>
          <w:lang w:val="es-MX"/>
        </w:rPr>
      </w:pPr>
      <w:r w:rsidRPr="0051191B">
        <w:rPr>
          <w:lang w:val="es-MX"/>
        </w:rPr>
        <w:t>El primer artículo, “Evolución y Desafíos para la Ampliación de Cobertura de la Educación Superior”, nos ofrece una visión integral sobre el sistema educativo superior en Colombia. Este análisis no s</w:t>
      </w:r>
      <w:r>
        <w:rPr>
          <w:lang w:val="es-MX"/>
        </w:rPr>
        <w:t>ó</w:t>
      </w:r>
      <w:r w:rsidRPr="0051191B">
        <w:rPr>
          <w:lang w:val="es-MX"/>
        </w:rPr>
        <w:t xml:space="preserve">lo destaca los logros en términos de expansión y diversidad de modalidades, sino que también nos confronta con los retos persistentes, como la inequidad en el acceso y la desconexión entre la formación académica y el mercado laboral. Las propuestas de fortalecimiento presentadas brindan una guía valiosa para el futuro de la </w:t>
      </w:r>
      <w:r>
        <w:rPr>
          <w:lang w:val="es-MX"/>
        </w:rPr>
        <w:t>E</w:t>
      </w:r>
      <w:r w:rsidRPr="0051191B">
        <w:rPr>
          <w:lang w:val="es-MX"/>
        </w:rPr>
        <w:t xml:space="preserve">ducación </w:t>
      </w:r>
      <w:r>
        <w:rPr>
          <w:lang w:val="es-MX"/>
        </w:rPr>
        <w:t>S</w:t>
      </w:r>
      <w:r w:rsidRPr="0051191B">
        <w:rPr>
          <w:lang w:val="es-MX"/>
        </w:rPr>
        <w:t>uperior en el país.</w:t>
      </w:r>
    </w:p>
    <w:p w:rsidR="00864286" w:rsidRPr="0051191B" w:rsidRDefault="00864286" w:rsidP="00864286">
      <w:pPr>
        <w:spacing w:line="360" w:lineRule="auto"/>
        <w:rPr>
          <w:lang w:val="es-MX"/>
        </w:rPr>
      </w:pPr>
    </w:p>
    <w:p w:rsidR="00864286" w:rsidRPr="00E823AE" w:rsidRDefault="00864286" w:rsidP="00864286">
      <w:pPr>
        <w:spacing w:line="360" w:lineRule="auto"/>
        <w:rPr>
          <w:lang w:val="es-MX"/>
        </w:rPr>
      </w:pPr>
      <w:r w:rsidRPr="0051191B">
        <w:rPr>
          <w:lang w:val="es-MX"/>
        </w:rPr>
        <w:t xml:space="preserve">En un giro hacia la reflexión crítica </w:t>
      </w:r>
      <w:r w:rsidRPr="00E823AE">
        <w:rPr>
          <w:lang w:val="es-MX"/>
        </w:rPr>
        <w:t>y cultural, el artículo intitulado “Contra el héroe cristiano” cuestiona el mito del héroe en el contexto occidental y su influencia en la fe cristiana. A través de un examen del papel del héroe en la cultura y su contraste con la figura de Jesús de Nazaret, el ensayo propone una visión alternativa para vivir la historia y cuestionar ideologías dominantes.</w:t>
      </w:r>
    </w:p>
    <w:p w:rsidR="00864286" w:rsidRPr="00E823AE" w:rsidRDefault="00864286" w:rsidP="00864286">
      <w:pPr>
        <w:spacing w:line="360" w:lineRule="auto"/>
        <w:rPr>
          <w:lang w:val="es-MX"/>
        </w:rPr>
      </w:pPr>
      <w:r w:rsidRPr="00E823AE">
        <w:rPr>
          <w:lang w:val="es-MX"/>
        </w:rPr>
        <w:t xml:space="preserve">La experiencia de la pandemia y su impacto en la vida universitaria es el foco del texto “¿Cómo los estudiantes universitarios experimentaron y narraron la cuarentena por el </w:t>
      </w:r>
      <w:r w:rsidRPr="00744A57">
        <w:rPr>
          <w:i/>
          <w:lang w:val="es-MX"/>
        </w:rPr>
        <w:t>Covid-19</w:t>
      </w:r>
      <w:r w:rsidRPr="0051191B">
        <w:rPr>
          <w:lang w:val="es-MX"/>
        </w:rPr>
        <w:t xml:space="preserve">?”. Este artículo analiza las narrativas audiovisuales producidas durante el Festival Internacional de Cortos </w:t>
      </w:r>
      <w:r w:rsidRPr="00744A57">
        <w:rPr>
          <w:i/>
          <w:lang w:val="es-MX"/>
        </w:rPr>
        <w:t>Cinestesia Cuarentena Short Films</w:t>
      </w:r>
      <w:r w:rsidRPr="0051191B">
        <w:rPr>
          <w:lang w:val="es-MX"/>
        </w:rPr>
        <w:t xml:space="preserve"> 2020, revelando cómo los </w:t>
      </w:r>
      <w:r w:rsidRPr="00E823AE">
        <w:rPr>
          <w:lang w:val="es-MX"/>
        </w:rPr>
        <w:lastRenderedPageBreak/>
        <w:t>estudiantes de Iberoamérica reinterpretaron su confinamiento y la adaptación a nuevas formas de comunicación y aprendizaje.</w:t>
      </w:r>
    </w:p>
    <w:p w:rsidR="00864286" w:rsidRPr="00E823AE" w:rsidRDefault="00864286" w:rsidP="00864286">
      <w:pPr>
        <w:spacing w:line="360" w:lineRule="auto"/>
        <w:rPr>
          <w:lang w:val="es-MX"/>
        </w:rPr>
      </w:pPr>
      <w:r w:rsidRPr="00E823AE">
        <w:rPr>
          <w:lang w:val="es-MX"/>
        </w:rPr>
        <w:t>Por su parte, “La memoria como testimonio y resistencia en Auschwitz: Análisis de tres novelas” nos sumerge en el estudio de testimonios menos conocidos del campo de concentración de Auschwitz. A través de una narrativa filosófica, el artículo explora cómo estas experiencias menos difundidas contribuyen a una comprensión más rica y compleja de la historia.</w:t>
      </w:r>
    </w:p>
    <w:p w:rsidR="00864286" w:rsidRPr="00E823AE" w:rsidRDefault="00864286" w:rsidP="00864286">
      <w:pPr>
        <w:spacing w:line="360" w:lineRule="auto"/>
        <w:rPr>
          <w:lang w:val="es-MX"/>
        </w:rPr>
      </w:pPr>
    </w:p>
    <w:p w:rsidR="00864286" w:rsidRPr="00E823AE" w:rsidRDefault="00864286" w:rsidP="00864286">
      <w:pPr>
        <w:spacing w:line="360" w:lineRule="auto"/>
        <w:rPr>
          <w:lang w:val="es-MX"/>
        </w:rPr>
      </w:pPr>
      <w:r w:rsidRPr="00E823AE">
        <w:rPr>
          <w:lang w:val="es-MX"/>
        </w:rPr>
        <w:t>A su vez, el artículo “Experiencias con las sanciones del Sistema Responsabilidad Penal para Adolescentes en jóvenes de 14 a 18 años en la Ciudad de Bogotá D. C.” presenta una indagación cualitativa sobre las percepciones de los adolescentes frente a las sanciones del sistema penal. Este análisis revela las carencias del sistema y su impacto en los jóvenes, destacando la necesidad de enfoques más restaurativos y menos punitivos.</w:t>
      </w:r>
    </w:p>
    <w:p w:rsidR="00864286" w:rsidRPr="00E823AE" w:rsidRDefault="00864286" w:rsidP="00864286">
      <w:pPr>
        <w:spacing w:line="360" w:lineRule="auto"/>
        <w:rPr>
          <w:lang w:val="es-MX"/>
        </w:rPr>
      </w:pPr>
      <w:r w:rsidRPr="00E823AE">
        <w:rPr>
          <w:lang w:val="es-MX"/>
        </w:rPr>
        <w:t>Asimismo, en el artículo “Transformación Educativa impulsada por la Tecnología digital: Revisión Documental”, se examina el impacto de la tecnología y la innovación en la educación. El estudio revela cómo la integración de herramientas digitales está remodelando los ecosistemas de aprendizaje, promoviendo métodos más interactivos y adaptativos en el proceso educativo.</w:t>
      </w:r>
    </w:p>
    <w:p w:rsidR="00864286" w:rsidRPr="00E823AE" w:rsidRDefault="00864286" w:rsidP="00864286">
      <w:pPr>
        <w:spacing w:line="360" w:lineRule="auto"/>
        <w:rPr>
          <w:lang w:val="es-MX"/>
        </w:rPr>
      </w:pPr>
      <w:r w:rsidRPr="00E823AE">
        <w:rPr>
          <w:lang w:val="es-MX"/>
        </w:rPr>
        <w:t>Finalmente, “Estrategias Técnico-tácticas en el Fútbol Base” ofrece una reflexión sobre el desarrollo del fútbol en las etapas formativas. Este artículo analiza las metodologías de enseñanza y los aspectos técnicos, tácticos y motivacionales necesarios para el desarrollo integral de los jóvenes futbolistas.</w:t>
      </w:r>
    </w:p>
    <w:p w:rsidR="00864286" w:rsidRPr="0068098D" w:rsidRDefault="00864286" w:rsidP="00864286">
      <w:pPr>
        <w:spacing w:line="360" w:lineRule="auto"/>
        <w:rPr>
          <w:b/>
          <w:bCs/>
        </w:rPr>
      </w:pPr>
      <w:r w:rsidRPr="00E823AE">
        <w:rPr>
          <w:lang w:val="es-MX"/>
        </w:rPr>
        <w:t>Cada uno de estos artículos proporciona una perspectiva única sobre temas críticos y contemporáneos, invitando a nuestros lectores a una reflexión profunda y a un diálogo enriquecedor. Esperamos que disfruten de esta edición y que los cont</w:t>
      </w:r>
      <w:r w:rsidRPr="0051191B">
        <w:rPr>
          <w:lang w:val="es-MX"/>
        </w:rPr>
        <w:t>enidos aquí presentados les ofrezcan nuevas formas de pensar y entender el mundo que nos rodea.</w:t>
      </w:r>
    </w:p>
    <w:p w:rsidR="00864286" w:rsidRPr="0068098D" w:rsidRDefault="00864286" w:rsidP="00864286">
      <w:pPr>
        <w:spacing w:line="360" w:lineRule="auto"/>
        <w:rPr>
          <w:b/>
          <w:bCs/>
        </w:rPr>
      </w:pPr>
    </w:p>
    <w:p w:rsidR="00C80EFC" w:rsidRDefault="00C80EFC"/>
    <w:sectPr w:rsidR="00C80EF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918" w:rsidRDefault="009D3918" w:rsidP="00864286">
      <w:r>
        <w:separator/>
      </w:r>
    </w:p>
  </w:endnote>
  <w:endnote w:type="continuationSeparator" w:id="0">
    <w:p w:rsidR="009D3918" w:rsidRDefault="009D3918" w:rsidP="0086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AD7" w:rsidRPr="001C5F1A" w:rsidRDefault="00112AD7" w:rsidP="007A6C2F">
    <w:pPr>
      <w:pStyle w:val="Footer"/>
      <w:jc w:val="right"/>
      <w:rPr>
        <w:rFonts w:ascii="Arial" w:hAnsi="Arial" w:cs="Arial"/>
        <w:b/>
        <w:sz w:val="20"/>
        <w:szCs w:val="20"/>
        <w:lang w:val="es-ES"/>
      </w:rPr>
    </w:pPr>
    <w:proofErr w:type="spellStart"/>
    <w:r w:rsidRPr="001C5F1A">
      <w:rPr>
        <w:rFonts w:ascii="Arial" w:hAnsi="Arial" w:cs="Arial"/>
        <w:b/>
        <w:sz w:val="20"/>
        <w:szCs w:val="20"/>
        <w:lang w:val="es-ES"/>
      </w:rPr>
      <w:t>Quaestiones</w:t>
    </w:r>
    <w:proofErr w:type="spellEnd"/>
    <w:r w:rsidRPr="001C5F1A">
      <w:rPr>
        <w:rFonts w:ascii="Arial" w:hAnsi="Arial" w:cs="Arial"/>
        <w:b/>
        <w:sz w:val="20"/>
        <w:szCs w:val="20"/>
        <w:lang w:val="es-ES"/>
      </w:rPr>
      <w:t xml:space="preserve"> </w:t>
    </w:r>
    <w:proofErr w:type="spellStart"/>
    <w:r w:rsidRPr="001C5F1A">
      <w:rPr>
        <w:rFonts w:ascii="Arial" w:hAnsi="Arial" w:cs="Arial"/>
        <w:b/>
        <w:sz w:val="20"/>
        <w:szCs w:val="20"/>
        <w:lang w:val="es-ES"/>
      </w:rPr>
      <w:t>Disputatae</w:t>
    </w:r>
    <w:proofErr w:type="spellEnd"/>
    <w:r w:rsidRPr="001C5F1A">
      <w:rPr>
        <w:rFonts w:ascii="Arial" w:hAnsi="Arial" w:cs="Arial"/>
        <w:b/>
        <w:sz w:val="20"/>
        <w:szCs w:val="20"/>
        <w:lang w:val="es-ES"/>
      </w:rPr>
      <w:t>-</w:t>
    </w:r>
    <w:r w:rsidRPr="001C5F1A">
      <w:rPr>
        <w:rFonts w:ascii="Arial" w:hAnsi="Arial" w:cs="Arial"/>
        <w:b/>
        <w:i/>
        <w:sz w:val="20"/>
        <w:szCs w:val="20"/>
        <w:lang w:val="es-ES"/>
      </w:rPr>
      <w:t xml:space="preserve">Temas en Debate, </w:t>
    </w:r>
    <w:r>
      <w:rPr>
        <w:rFonts w:ascii="Arial" w:hAnsi="Arial" w:cs="Arial"/>
        <w:b/>
        <w:sz w:val="20"/>
        <w:szCs w:val="20"/>
        <w:lang w:val="es-ES"/>
      </w:rPr>
      <w:t xml:space="preserve">Julio - </w:t>
    </w:r>
    <w:proofErr w:type="gramStart"/>
    <w:r>
      <w:rPr>
        <w:rFonts w:ascii="Arial" w:hAnsi="Arial" w:cs="Arial"/>
        <w:b/>
        <w:sz w:val="20"/>
        <w:szCs w:val="20"/>
        <w:lang w:val="es-ES"/>
      </w:rPr>
      <w:t>Diciembre</w:t>
    </w:r>
    <w:proofErr w:type="gramEnd"/>
    <w:r w:rsidRPr="001C5F1A">
      <w:rPr>
        <w:rFonts w:ascii="Arial" w:hAnsi="Arial" w:cs="Arial"/>
        <w:b/>
        <w:sz w:val="20"/>
        <w:szCs w:val="20"/>
        <w:lang w:val="es-ES"/>
      </w:rPr>
      <w:t>,</w:t>
    </w:r>
    <w:r>
      <w:rPr>
        <w:rFonts w:ascii="Arial" w:hAnsi="Arial" w:cs="Arial"/>
        <w:b/>
        <w:sz w:val="20"/>
        <w:szCs w:val="20"/>
        <w:lang w:val="es-ES"/>
      </w:rPr>
      <w:t xml:space="preserve"> 2023-2. </w:t>
    </w:r>
    <w:proofErr w:type="spellStart"/>
    <w:r>
      <w:rPr>
        <w:rFonts w:ascii="Arial" w:hAnsi="Arial" w:cs="Arial"/>
        <w:b/>
        <w:sz w:val="20"/>
        <w:szCs w:val="20"/>
        <w:lang w:val="es-ES"/>
      </w:rPr>
      <w:t>Vol</w:t>
    </w:r>
    <w:proofErr w:type="spellEnd"/>
    <w:r>
      <w:rPr>
        <w:rFonts w:ascii="Arial" w:hAnsi="Arial" w:cs="Arial"/>
        <w:b/>
        <w:sz w:val="20"/>
        <w:szCs w:val="20"/>
        <w:lang w:val="es-ES"/>
      </w:rPr>
      <w:t xml:space="preserve"> 16, Nº33</w:t>
    </w:r>
    <w:r w:rsidRPr="001C5F1A">
      <w:rPr>
        <w:rFonts w:ascii="Arial" w:hAnsi="Arial" w:cs="Arial"/>
        <w:b/>
        <w:sz w:val="20"/>
        <w:szCs w:val="20"/>
        <w:lang w:val="es-ES"/>
      </w:rPr>
      <w:t>, semestral, Tunja, Boyacá,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918" w:rsidRDefault="009D3918" w:rsidP="00864286">
      <w:r>
        <w:separator/>
      </w:r>
    </w:p>
  </w:footnote>
  <w:footnote w:type="continuationSeparator" w:id="0">
    <w:p w:rsidR="009D3918" w:rsidRDefault="009D3918" w:rsidP="00864286">
      <w:r>
        <w:continuationSeparator/>
      </w:r>
    </w:p>
  </w:footnote>
  <w:footnote w:id="1">
    <w:p w:rsidR="00864286" w:rsidRPr="005651BC" w:rsidRDefault="00864286" w:rsidP="00864286">
      <w:pPr>
        <w:pStyle w:val="FootnoteText"/>
        <w:jc w:val="both"/>
        <w:rPr>
          <w:sz w:val="16"/>
          <w:szCs w:val="16"/>
          <w:lang w:val="es-ES"/>
        </w:rPr>
      </w:pPr>
      <w:r w:rsidRPr="005651BC">
        <w:rPr>
          <w:rStyle w:val="FootnoteReference"/>
          <w:rFonts w:ascii="Times New Roman" w:hAnsi="Times New Roman" w:cs="Times New Roman"/>
          <w:sz w:val="16"/>
          <w:szCs w:val="16"/>
        </w:rPr>
        <w:footnoteRef/>
      </w:r>
      <w:r w:rsidRPr="005651BC">
        <w:rPr>
          <w:rFonts w:ascii="Times New Roman" w:hAnsi="Times New Roman" w:cs="Times New Roman"/>
          <w:sz w:val="16"/>
          <w:szCs w:val="16"/>
        </w:rPr>
        <w:t xml:space="preserve"> </w:t>
      </w:r>
      <w:bookmarkStart w:id="2" w:name="_Hlk173174416"/>
      <w:r>
        <w:rPr>
          <w:rFonts w:ascii="Times New Roman" w:hAnsi="Times New Roman" w:cs="Times New Roman"/>
          <w:sz w:val="16"/>
          <w:szCs w:val="16"/>
        </w:rPr>
        <w:t xml:space="preserve">Magister en Literatura y doctorando en la </w:t>
      </w:r>
      <w:r w:rsidRPr="00744A57">
        <w:rPr>
          <w:rFonts w:ascii="Times New Roman" w:hAnsi="Times New Roman" w:cs="Times New Roman"/>
          <w:i/>
          <w:sz w:val="16"/>
          <w:szCs w:val="16"/>
        </w:rPr>
        <w:t>UPTC</w:t>
      </w:r>
      <w:r>
        <w:rPr>
          <w:rFonts w:ascii="Times New Roman" w:hAnsi="Times New Roman" w:cs="Times New Roman"/>
          <w:sz w:val="16"/>
          <w:szCs w:val="16"/>
        </w:rPr>
        <w:t xml:space="preserve">, Tunja, Docente Investigador del </w:t>
      </w:r>
      <w:proofErr w:type="spellStart"/>
      <w:r>
        <w:rPr>
          <w:rFonts w:ascii="Times New Roman" w:hAnsi="Times New Roman" w:cs="Times New Roman"/>
          <w:sz w:val="16"/>
          <w:szCs w:val="16"/>
        </w:rPr>
        <w:t>Dpto</w:t>
      </w:r>
      <w:proofErr w:type="spellEnd"/>
      <w:r>
        <w:rPr>
          <w:rFonts w:ascii="Times New Roman" w:hAnsi="Times New Roman" w:cs="Times New Roman"/>
          <w:sz w:val="16"/>
          <w:szCs w:val="16"/>
        </w:rPr>
        <w:t xml:space="preserve"> de Humanidades, USTA, Tunja. Contacto: </w:t>
      </w:r>
      <w:hyperlink r:id="rId1" w:history="1">
        <w:r w:rsidRPr="004D245D">
          <w:rPr>
            <w:rStyle w:val="Hyperlink"/>
            <w:rFonts w:ascii="Times New Roman" w:hAnsi="Times New Roman" w:cs="Times New Roman"/>
            <w:sz w:val="16"/>
            <w:szCs w:val="16"/>
          </w:rPr>
          <w:t>hernan.pinzon@usantoto.edu.co</w:t>
        </w:r>
      </w:hyperlink>
      <w:bookmarkEnd w:id="2"/>
      <w:r>
        <w:rPr>
          <w:rFonts w:ascii="Times New Roman" w:hAnsi="Times New Roman" w:cs="Times New Roman"/>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86"/>
    <w:rsid w:val="00112AD7"/>
    <w:rsid w:val="00864286"/>
    <w:rsid w:val="009D3918"/>
    <w:rsid w:val="00AB24D9"/>
    <w:rsid w:val="00C80EFC"/>
    <w:rsid w:val="00E12ADE"/>
    <w:rsid w:val="00E823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C8F9"/>
  <w15:chartTrackingRefBased/>
  <w15:docId w15:val="{AEE5BD88-F532-4342-AE99-422052ED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286"/>
    <w:pPr>
      <w:spacing w:after="0" w:line="240" w:lineRule="auto"/>
    </w:pPr>
    <w:rPr>
      <w:rFonts w:ascii="Times New Roman" w:hAnsi="Times New Roman" w:cs="Times New Roman"/>
      <w:sz w:val="24"/>
      <w:szCs w:val="24"/>
      <w:lang w:val="es-ES_tradnl"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286"/>
    <w:rPr>
      <w:color w:val="0563C1" w:themeColor="hyperlink"/>
      <w:u w:val="single"/>
    </w:rPr>
  </w:style>
  <w:style w:type="paragraph" w:styleId="FootnoteText">
    <w:name w:val="footnote text"/>
    <w:aliases w:val="Car,ft,Texto nota pie_mujer, Car, Car Car Car Car, Car Car Car Car Car Car, Car Car Car Car Car, Car Car Car Car Car Car Car Car Car, Car Car Car Car Car Car Car Car C Car, Car Car Car Car Car1, Car Car Car Car Car Car Car, Car Car Car"/>
    <w:basedOn w:val="Normal"/>
    <w:link w:val="FootnoteTextChar"/>
    <w:uiPriority w:val="99"/>
    <w:unhideWhenUsed/>
    <w:qFormat/>
    <w:rsid w:val="00864286"/>
    <w:rPr>
      <w:rFonts w:asciiTheme="minorHAnsi" w:hAnsiTheme="minorHAnsi" w:cstheme="minorBidi"/>
      <w:lang w:eastAsia="en-US"/>
    </w:rPr>
  </w:style>
  <w:style w:type="character" w:customStyle="1" w:styleId="FootnoteTextChar">
    <w:name w:val="Footnote Text Char"/>
    <w:aliases w:val="Car Char,ft Char,Texto nota pie_mujer Char, Car Char, Car Car Car Car Char, Car Car Car Car Car Car Char, Car Car Car Car Car Char, Car Car Car Car Car Car Car Car Car Char, Car Car Car Car Car Car Car Car C Car Char, Car Car Car Char"/>
    <w:basedOn w:val="DefaultParagraphFont"/>
    <w:link w:val="FootnoteText"/>
    <w:uiPriority w:val="99"/>
    <w:qFormat/>
    <w:rsid w:val="00864286"/>
    <w:rPr>
      <w:sz w:val="24"/>
      <w:szCs w:val="24"/>
      <w:lang w:val="es-ES_tradnl"/>
    </w:rPr>
  </w:style>
  <w:style w:type="character" w:styleId="FootnoteReference">
    <w:name w:val="footnote reference"/>
    <w:aliases w:val="referencia nota al pie,normal,BVI fnr Car Car1 Car Car1,BVI fnr Car Car Car Car1 Car Car1,BVI fnr Car Car Car Car1 Car11,BVI fnr Car Car Car Car Car Car Car Car1,BVI fnr Car Car Car Car1 Car Car,BVI fnr,BVI fnr Car Car,BVI fnr Car"/>
    <w:basedOn w:val="DefaultParagraphFont"/>
    <w:link w:val="Char2"/>
    <w:unhideWhenUsed/>
    <w:qFormat/>
    <w:rsid w:val="00864286"/>
    <w:rPr>
      <w:vertAlign w:val="superscript"/>
    </w:rPr>
  </w:style>
  <w:style w:type="paragraph" w:customStyle="1" w:styleId="Char2">
    <w:name w:val="Char2"/>
    <w:basedOn w:val="Normal"/>
    <w:link w:val="FootnoteReference"/>
    <w:rsid w:val="00864286"/>
    <w:pPr>
      <w:spacing w:after="160" w:line="240" w:lineRule="exact"/>
    </w:pPr>
    <w:rPr>
      <w:rFonts w:asciiTheme="minorHAnsi" w:hAnsiTheme="minorHAnsi" w:cstheme="minorBidi"/>
      <w:sz w:val="22"/>
      <w:szCs w:val="22"/>
      <w:vertAlign w:val="superscript"/>
      <w:lang w:val="es-CO" w:eastAsia="en-US"/>
    </w:rPr>
  </w:style>
  <w:style w:type="paragraph" w:styleId="Footer">
    <w:name w:val="footer"/>
    <w:basedOn w:val="Normal"/>
    <w:link w:val="FooterChar"/>
    <w:uiPriority w:val="99"/>
    <w:unhideWhenUsed/>
    <w:rsid w:val="00112AD7"/>
    <w:pPr>
      <w:tabs>
        <w:tab w:val="center" w:pos="4252"/>
        <w:tab w:val="right" w:pos="8504"/>
      </w:tabs>
    </w:pPr>
    <w:rPr>
      <w:rFonts w:asciiTheme="minorHAnsi" w:hAnsiTheme="minorHAnsi" w:cstheme="minorBidi"/>
      <w:sz w:val="22"/>
      <w:szCs w:val="22"/>
      <w:lang w:val="es-CO" w:eastAsia="en-US"/>
    </w:rPr>
  </w:style>
  <w:style w:type="character" w:customStyle="1" w:styleId="FooterChar">
    <w:name w:val="Footer Char"/>
    <w:basedOn w:val="DefaultParagraphFont"/>
    <w:link w:val="Footer"/>
    <w:uiPriority w:val="99"/>
    <w:qFormat/>
    <w:rsid w:val="00112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hernan.pinzon@usantoto.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797</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Hurtado</dc:creator>
  <cp:keywords/>
  <dc:description/>
  <cp:lastModifiedBy>Diana Hurtado</cp:lastModifiedBy>
  <cp:revision>3</cp:revision>
  <dcterms:created xsi:type="dcterms:W3CDTF">2024-09-09T12:58:00Z</dcterms:created>
  <dcterms:modified xsi:type="dcterms:W3CDTF">2024-09-12T13:24:00Z</dcterms:modified>
</cp:coreProperties>
</file>